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48D16" w14:textId="7DBF7E7B" w:rsidR="00286CE3" w:rsidRDefault="00F26688">
      <w:pPr>
        <w:rPr>
          <w:rFonts w:ascii="標楷體" w:eastAsia="標楷體" w:hAnsi="標楷體"/>
          <w:szCs w:val="24"/>
        </w:rPr>
      </w:pPr>
      <w:r w:rsidRPr="00FD6AA9">
        <w:rPr>
          <w:rFonts w:eastAsia="標楷體" w:hint="eastAsia"/>
          <w:kern w:val="0"/>
        </w:rPr>
        <w:t>附件</w:t>
      </w:r>
      <w:r w:rsidRPr="00FD6AA9">
        <w:rPr>
          <w:rFonts w:eastAsia="標楷體" w:hint="eastAsia"/>
          <w:kern w:val="0"/>
        </w:rPr>
        <w:t>2-</w:t>
      </w:r>
      <w:r>
        <w:rPr>
          <w:rFonts w:eastAsia="標楷體"/>
          <w:kern w:val="0"/>
        </w:rPr>
        <w:t>20</w:t>
      </w:r>
      <w:r w:rsidR="00286CE3">
        <w:rPr>
          <w:rFonts w:eastAsia="標楷體" w:hint="eastAsia"/>
          <w:kern w:val="0"/>
        </w:rPr>
        <w:t xml:space="preserve"> </w:t>
      </w:r>
      <w:bookmarkStart w:id="0" w:name="_GoBack"/>
      <w:r w:rsidR="00286CE3" w:rsidRPr="00286CE3">
        <w:rPr>
          <w:rFonts w:ascii="標楷體" w:eastAsia="標楷體" w:hAnsi="標楷體"/>
          <w:szCs w:val="24"/>
        </w:rPr>
        <w:t>中華</w:t>
      </w:r>
      <w:proofErr w:type="gramStart"/>
      <w:r w:rsidR="00286CE3" w:rsidRPr="00286CE3">
        <w:rPr>
          <w:rFonts w:ascii="標楷體" w:eastAsia="標楷體" w:hAnsi="標楷體"/>
          <w:szCs w:val="24"/>
        </w:rPr>
        <w:t>醫</w:t>
      </w:r>
      <w:proofErr w:type="gramEnd"/>
      <w:r w:rsidR="00286CE3" w:rsidRPr="00286CE3">
        <w:rPr>
          <w:rFonts w:ascii="標楷體" w:eastAsia="標楷體" w:hAnsi="標楷體"/>
          <w:szCs w:val="24"/>
        </w:rPr>
        <w:t>事科技大學英語能力畢業門檻與輔導學生取得英檢證照實施要點</w:t>
      </w:r>
      <w:bookmarkEnd w:id="0"/>
      <w:r w:rsidR="00286CE3" w:rsidRPr="00286CE3">
        <w:rPr>
          <w:rFonts w:ascii="標楷體" w:eastAsia="標楷體" w:hAnsi="標楷體"/>
          <w:szCs w:val="24"/>
        </w:rPr>
        <w:t xml:space="preserve"> </w:t>
      </w:r>
    </w:p>
    <w:p w14:paraId="196913E2" w14:textId="77777777" w:rsidR="00286CE3" w:rsidRPr="00286CE3" w:rsidRDefault="00286CE3" w:rsidP="00286CE3">
      <w:pPr>
        <w:jc w:val="right"/>
        <w:rPr>
          <w:rFonts w:ascii="標楷體" w:eastAsia="標楷體" w:hAnsi="標楷體"/>
          <w:sz w:val="18"/>
          <w:szCs w:val="18"/>
        </w:rPr>
      </w:pPr>
      <w:r w:rsidRPr="00286CE3">
        <w:rPr>
          <w:rFonts w:ascii="標楷體" w:eastAsia="標楷體" w:hAnsi="標楷體"/>
          <w:sz w:val="18"/>
          <w:szCs w:val="18"/>
        </w:rPr>
        <w:t xml:space="preserve">98.4.8 通識教育英文組會議討論修訂 </w:t>
      </w:r>
    </w:p>
    <w:p w14:paraId="18D56F09" w14:textId="77777777" w:rsidR="00286CE3" w:rsidRPr="00286CE3" w:rsidRDefault="00286CE3" w:rsidP="00286CE3">
      <w:pPr>
        <w:jc w:val="right"/>
        <w:rPr>
          <w:rFonts w:ascii="標楷體" w:eastAsia="標楷體" w:hAnsi="標楷體"/>
          <w:sz w:val="18"/>
          <w:szCs w:val="18"/>
        </w:rPr>
      </w:pPr>
      <w:r w:rsidRPr="00286CE3">
        <w:rPr>
          <w:rFonts w:ascii="標楷體" w:eastAsia="標楷體" w:hAnsi="標楷體"/>
          <w:sz w:val="18"/>
          <w:szCs w:val="18"/>
        </w:rPr>
        <w:t xml:space="preserve">98.4.30 通識教育課程委員會會議通過 </w:t>
      </w:r>
    </w:p>
    <w:p w14:paraId="689E738A" w14:textId="77777777" w:rsidR="00286CE3" w:rsidRPr="00286CE3" w:rsidRDefault="00286CE3" w:rsidP="00286CE3">
      <w:pPr>
        <w:jc w:val="right"/>
        <w:rPr>
          <w:rFonts w:ascii="標楷體" w:eastAsia="標楷體" w:hAnsi="標楷體"/>
          <w:sz w:val="18"/>
          <w:szCs w:val="18"/>
        </w:rPr>
      </w:pPr>
      <w:r w:rsidRPr="00286CE3">
        <w:rPr>
          <w:rFonts w:ascii="標楷體" w:eastAsia="標楷體" w:hAnsi="標楷體"/>
          <w:sz w:val="18"/>
          <w:szCs w:val="18"/>
        </w:rPr>
        <w:t xml:space="preserve">98.5.12 教務會議通過 </w:t>
      </w:r>
    </w:p>
    <w:p w14:paraId="5FEF9324" w14:textId="77777777" w:rsidR="00286CE3" w:rsidRPr="00286CE3" w:rsidRDefault="00286CE3" w:rsidP="00286CE3">
      <w:pPr>
        <w:jc w:val="right"/>
        <w:rPr>
          <w:rFonts w:ascii="標楷體" w:eastAsia="標楷體" w:hAnsi="標楷體"/>
          <w:sz w:val="18"/>
          <w:szCs w:val="18"/>
        </w:rPr>
      </w:pPr>
      <w:r w:rsidRPr="00286CE3">
        <w:rPr>
          <w:rFonts w:ascii="標楷體" w:eastAsia="標楷體" w:hAnsi="標楷體"/>
          <w:sz w:val="18"/>
          <w:szCs w:val="18"/>
        </w:rPr>
        <w:t xml:space="preserve">102.3.6 教務會議修訂通過 </w:t>
      </w:r>
    </w:p>
    <w:p w14:paraId="072CE875" w14:textId="77777777" w:rsidR="00286CE3" w:rsidRPr="00286CE3" w:rsidRDefault="00286CE3" w:rsidP="00286CE3">
      <w:pPr>
        <w:jc w:val="right"/>
        <w:rPr>
          <w:rFonts w:ascii="標楷體" w:eastAsia="標楷體" w:hAnsi="標楷體"/>
          <w:sz w:val="18"/>
          <w:szCs w:val="18"/>
        </w:rPr>
      </w:pPr>
      <w:r w:rsidRPr="00286CE3">
        <w:rPr>
          <w:rFonts w:ascii="標楷體" w:eastAsia="標楷體" w:hAnsi="標楷體"/>
          <w:sz w:val="18"/>
          <w:szCs w:val="18"/>
        </w:rPr>
        <w:t xml:space="preserve">102.11.18 英文組會議通過 </w:t>
      </w:r>
    </w:p>
    <w:p w14:paraId="2DE97122" w14:textId="04ECB01C" w:rsidR="00286CE3" w:rsidRPr="00286CE3" w:rsidRDefault="00286CE3" w:rsidP="00286CE3">
      <w:pPr>
        <w:jc w:val="right"/>
        <w:rPr>
          <w:rFonts w:ascii="標楷體" w:eastAsia="標楷體" w:hAnsi="標楷體"/>
          <w:sz w:val="18"/>
          <w:szCs w:val="18"/>
        </w:rPr>
      </w:pPr>
      <w:r w:rsidRPr="00286CE3">
        <w:rPr>
          <w:rFonts w:ascii="標楷體" w:eastAsia="標楷體" w:hAnsi="標楷體"/>
          <w:sz w:val="18"/>
          <w:szCs w:val="18"/>
        </w:rPr>
        <w:t>102.12.31 教務會議修訂通過</w:t>
      </w:r>
    </w:p>
    <w:p w14:paraId="5C973CFD" w14:textId="3A857BC1" w:rsidR="00286CE3" w:rsidRPr="00286CE3" w:rsidRDefault="00286CE3" w:rsidP="00286CE3">
      <w:pPr>
        <w:jc w:val="right"/>
        <w:rPr>
          <w:rFonts w:ascii="標楷體" w:eastAsia="標楷體" w:hAnsi="標楷體"/>
          <w:sz w:val="18"/>
          <w:szCs w:val="18"/>
        </w:rPr>
      </w:pPr>
      <w:r w:rsidRPr="00286CE3">
        <w:rPr>
          <w:rFonts w:ascii="標楷體" w:eastAsia="標楷體" w:hAnsi="標楷體"/>
          <w:sz w:val="18"/>
          <w:szCs w:val="18"/>
        </w:rPr>
        <w:t xml:space="preserve">105.02.18 英文組會議通過 </w:t>
      </w:r>
    </w:p>
    <w:p w14:paraId="27D5198A" w14:textId="77777777" w:rsidR="00286CE3" w:rsidRPr="00286CE3" w:rsidRDefault="00286CE3" w:rsidP="00286CE3">
      <w:pPr>
        <w:jc w:val="right"/>
        <w:rPr>
          <w:rFonts w:ascii="標楷體" w:eastAsia="標楷體" w:hAnsi="標楷體"/>
          <w:sz w:val="18"/>
          <w:szCs w:val="18"/>
        </w:rPr>
      </w:pPr>
      <w:r w:rsidRPr="00286CE3">
        <w:rPr>
          <w:rFonts w:ascii="標楷體" w:eastAsia="標楷體" w:hAnsi="標楷體"/>
          <w:sz w:val="18"/>
          <w:szCs w:val="18"/>
        </w:rPr>
        <w:t xml:space="preserve">105.03.23 通識教育課程委員會會議通過 </w:t>
      </w:r>
    </w:p>
    <w:p w14:paraId="1E1FD464" w14:textId="77777777" w:rsidR="00286CE3" w:rsidRPr="00286CE3" w:rsidRDefault="00286CE3" w:rsidP="00286CE3">
      <w:pPr>
        <w:jc w:val="right"/>
        <w:rPr>
          <w:rFonts w:ascii="標楷體" w:eastAsia="標楷體" w:hAnsi="標楷體"/>
          <w:sz w:val="18"/>
          <w:szCs w:val="18"/>
        </w:rPr>
      </w:pPr>
      <w:r w:rsidRPr="00286CE3">
        <w:rPr>
          <w:rFonts w:ascii="標楷體" w:eastAsia="標楷體" w:hAnsi="標楷體"/>
          <w:sz w:val="18"/>
          <w:szCs w:val="18"/>
        </w:rPr>
        <w:t xml:space="preserve">105.06.08 教務會議修訂通過 </w:t>
      </w:r>
    </w:p>
    <w:p w14:paraId="2DA376FF" w14:textId="7318EBED" w:rsidR="00286CE3" w:rsidRPr="00286CE3" w:rsidRDefault="00286CE3" w:rsidP="00286CE3">
      <w:pPr>
        <w:jc w:val="right"/>
        <w:rPr>
          <w:rFonts w:ascii="標楷體" w:eastAsia="標楷體" w:hAnsi="標楷體"/>
          <w:sz w:val="18"/>
          <w:szCs w:val="18"/>
        </w:rPr>
      </w:pPr>
      <w:r w:rsidRPr="00286CE3">
        <w:rPr>
          <w:rFonts w:ascii="標楷體" w:eastAsia="標楷體" w:hAnsi="標楷體"/>
          <w:sz w:val="18"/>
          <w:szCs w:val="18"/>
        </w:rPr>
        <w:t xml:space="preserve">106.10.18 英文組會議修正通過 </w:t>
      </w:r>
    </w:p>
    <w:p w14:paraId="70486E20" w14:textId="3541854C" w:rsidR="00286CE3" w:rsidRPr="00286CE3" w:rsidRDefault="00286CE3" w:rsidP="00286CE3">
      <w:pPr>
        <w:jc w:val="right"/>
        <w:rPr>
          <w:rFonts w:ascii="標楷體" w:eastAsia="標楷體" w:hAnsi="標楷體"/>
          <w:sz w:val="18"/>
          <w:szCs w:val="18"/>
        </w:rPr>
      </w:pPr>
      <w:r w:rsidRPr="00286CE3">
        <w:rPr>
          <w:rFonts w:ascii="標楷體" w:eastAsia="標楷體" w:hAnsi="標楷體"/>
          <w:sz w:val="18"/>
          <w:szCs w:val="18"/>
        </w:rPr>
        <w:t xml:space="preserve">106.12.27 教務會議修訂通過 </w:t>
      </w:r>
    </w:p>
    <w:p w14:paraId="4A88430D" w14:textId="77777777" w:rsidR="00286CE3" w:rsidRDefault="00286CE3">
      <w:pPr>
        <w:rPr>
          <w:rFonts w:ascii="標楷體" w:eastAsia="標楷體" w:hAnsi="標楷體"/>
          <w:szCs w:val="24"/>
        </w:rPr>
      </w:pPr>
      <w:r w:rsidRPr="00286CE3">
        <w:rPr>
          <w:rFonts w:ascii="標楷體" w:eastAsia="標楷體" w:hAnsi="標楷體"/>
          <w:szCs w:val="24"/>
        </w:rPr>
        <w:t>第一條：本校為提升學生英語能力並落實教育部施政主軸中「提升大專院校外語能</w:t>
      </w:r>
    </w:p>
    <w:p w14:paraId="6482AE78" w14:textId="77777777" w:rsidR="00286CE3" w:rsidRDefault="00286C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286CE3">
        <w:rPr>
          <w:rFonts w:ascii="標楷體" w:eastAsia="標楷體" w:hAnsi="標楷體"/>
          <w:szCs w:val="24"/>
        </w:rPr>
        <w:t>力」的具體目標， 鼓勵各校制定通過外語檢定為畢業門檻。特訂定「英語能</w:t>
      </w:r>
    </w:p>
    <w:p w14:paraId="473606A5" w14:textId="75B0B685" w:rsidR="00286CE3" w:rsidRDefault="00286C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286CE3">
        <w:rPr>
          <w:rFonts w:ascii="標楷體" w:eastAsia="標楷體" w:hAnsi="標楷體"/>
          <w:szCs w:val="24"/>
        </w:rPr>
        <w:t xml:space="preserve">力畢業門檻與輔導學生取得英檢 證照實施要點」（以下簡稱本要點）。 </w:t>
      </w:r>
    </w:p>
    <w:p w14:paraId="01573E57" w14:textId="77777777" w:rsidR="00286CE3" w:rsidRDefault="00286CE3">
      <w:pPr>
        <w:rPr>
          <w:rFonts w:ascii="標楷體" w:eastAsia="標楷體" w:hAnsi="標楷體"/>
          <w:szCs w:val="24"/>
        </w:rPr>
      </w:pPr>
      <w:r w:rsidRPr="00286CE3">
        <w:rPr>
          <w:rFonts w:ascii="標楷體" w:eastAsia="標楷體" w:hAnsi="標楷體"/>
          <w:szCs w:val="24"/>
        </w:rPr>
        <w:t>第二條：本辦法為落實學生英語能力的提升，本校採用符合教育部認可之 CEF 標準測</w:t>
      </w:r>
    </w:p>
    <w:p w14:paraId="47117BB4" w14:textId="77777777" w:rsidR="00286CE3" w:rsidRDefault="00286C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286CE3">
        <w:rPr>
          <w:rFonts w:ascii="標楷體" w:eastAsia="標楷體" w:hAnsi="標楷體"/>
          <w:szCs w:val="24"/>
        </w:rPr>
        <w:t xml:space="preserve">驗，為本校之 英語能力畢業門檻。（如下表列） 項次 考試項目 標準／分數 </w:t>
      </w:r>
    </w:p>
    <w:p w14:paraId="2EB497FC" w14:textId="27823CD1" w:rsidR="00286CE3" w:rsidRDefault="00286C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286CE3">
        <w:rPr>
          <w:rFonts w:ascii="標楷體" w:eastAsia="標楷體" w:hAnsi="標楷體"/>
          <w:szCs w:val="24"/>
        </w:rPr>
        <w:t>１ 全民英檢初級（GEPT） 初、</w:t>
      </w:r>
      <w:proofErr w:type="gramStart"/>
      <w:r w:rsidRPr="00286CE3">
        <w:rPr>
          <w:rFonts w:ascii="標楷體" w:eastAsia="標楷體" w:hAnsi="標楷體"/>
          <w:szCs w:val="24"/>
        </w:rPr>
        <w:t>複</w:t>
      </w:r>
      <w:proofErr w:type="gramEnd"/>
      <w:r w:rsidRPr="00286CE3">
        <w:rPr>
          <w:rFonts w:ascii="標楷體" w:eastAsia="標楷體" w:hAnsi="標楷體"/>
          <w:szCs w:val="24"/>
        </w:rPr>
        <w:t>試合格及以上 ２ 全球英檢（GET） A2 級</w:t>
      </w:r>
    </w:p>
    <w:p w14:paraId="443F90C8" w14:textId="4A63E4CF" w:rsidR="00286CE3" w:rsidRDefault="00286C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286CE3">
        <w:rPr>
          <w:rFonts w:ascii="標楷體" w:eastAsia="標楷體" w:hAnsi="標楷體"/>
          <w:szCs w:val="24"/>
        </w:rPr>
        <w:t xml:space="preserve">之(聽力與閱讀)或 (寫作與口說)任一項合格者 ３ 托福（TOEFL） ITP 達 </w:t>
      </w:r>
    </w:p>
    <w:p w14:paraId="793AF2B8" w14:textId="754DAC97" w:rsidR="00286CE3" w:rsidRDefault="00286C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286CE3">
        <w:rPr>
          <w:rFonts w:ascii="標楷體" w:eastAsia="標楷體" w:hAnsi="標楷體"/>
          <w:szCs w:val="24"/>
        </w:rPr>
        <w:t xml:space="preserve">337 分以上 ４ </w:t>
      </w:r>
      <w:proofErr w:type="gramStart"/>
      <w:r w:rsidRPr="00286CE3">
        <w:rPr>
          <w:rFonts w:ascii="標楷體" w:eastAsia="標楷體" w:hAnsi="標楷體"/>
          <w:szCs w:val="24"/>
        </w:rPr>
        <w:t>多益</w:t>
      </w:r>
      <w:proofErr w:type="gramEnd"/>
      <w:r w:rsidRPr="00286CE3">
        <w:rPr>
          <w:rFonts w:ascii="標楷體" w:eastAsia="標楷體" w:hAnsi="標楷體"/>
          <w:szCs w:val="24"/>
        </w:rPr>
        <w:t xml:space="preserve">（NEW TOEIC） 達 350 分以上 ５ 雅思（IELTS） 3.0 </w:t>
      </w:r>
    </w:p>
    <w:p w14:paraId="422C995C" w14:textId="77777777" w:rsidR="00286CE3" w:rsidRDefault="00286C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286CE3">
        <w:rPr>
          <w:rFonts w:ascii="標楷體" w:eastAsia="標楷體" w:hAnsi="標楷體"/>
          <w:szCs w:val="24"/>
        </w:rPr>
        <w:t>級分以上 ６ 大學校院英語能力測驗（CSEPT） 130 分以上 ７ 全民網路英</w:t>
      </w:r>
    </w:p>
    <w:p w14:paraId="3BC42FA9" w14:textId="08C2DBEE" w:rsidR="00286CE3" w:rsidRDefault="00286C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286CE3">
        <w:rPr>
          <w:rFonts w:ascii="標楷體" w:eastAsia="標楷體" w:hAnsi="標楷體"/>
          <w:szCs w:val="24"/>
        </w:rPr>
        <w:t>語能力檢定（NETPAW） 初學級（A2）</w:t>
      </w:r>
      <w:proofErr w:type="gramStart"/>
      <w:r w:rsidRPr="00286CE3">
        <w:rPr>
          <w:rFonts w:ascii="標楷體" w:eastAsia="標楷體" w:hAnsi="標楷體"/>
          <w:szCs w:val="24"/>
        </w:rPr>
        <w:t>複</w:t>
      </w:r>
      <w:proofErr w:type="gramEnd"/>
      <w:r w:rsidRPr="00286CE3">
        <w:rPr>
          <w:rFonts w:ascii="標楷體" w:eastAsia="標楷體" w:hAnsi="標楷體"/>
          <w:szCs w:val="24"/>
        </w:rPr>
        <w:t>試合格及以上 8 通用國際英檢</w:t>
      </w:r>
      <w:proofErr w:type="gramStart"/>
      <w:r w:rsidRPr="00286CE3">
        <w:rPr>
          <w:rFonts w:ascii="標楷體" w:eastAsia="標楷體" w:hAnsi="標楷體"/>
          <w:szCs w:val="24"/>
        </w:rPr>
        <w:t>（</w:t>
      </w:r>
      <w:proofErr w:type="gramEnd"/>
      <w:r w:rsidRPr="00286CE3">
        <w:rPr>
          <w:rFonts w:ascii="標楷體" w:eastAsia="標楷體" w:hAnsi="標楷體"/>
          <w:szCs w:val="24"/>
        </w:rPr>
        <w:t>G-</w:t>
      </w:r>
    </w:p>
    <w:p w14:paraId="50A45107" w14:textId="518CEE0E" w:rsidR="00286CE3" w:rsidRDefault="00286C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286CE3">
        <w:rPr>
          <w:rFonts w:ascii="標楷體" w:eastAsia="標楷體" w:hAnsi="標楷體"/>
          <w:szCs w:val="24"/>
        </w:rPr>
        <w:t>TELP</w:t>
      </w:r>
      <w:proofErr w:type="gramStart"/>
      <w:r w:rsidRPr="00286CE3">
        <w:rPr>
          <w:rFonts w:ascii="標楷體" w:eastAsia="標楷體" w:hAnsi="標楷體"/>
          <w:szCs w:val="24"/>
        </w:rPr>
        <w:t>）</w:t>
      </w:r>
      <w:proofErr w:type="gramEnd"/>
      <w:r w:rsidRPr="00286CE3">
        <w:rPr>
          <w:rFonts w:ascii="標楷體" w:eastAsia="標楷體" w:hAnsi="標楷體"/>
          <w:szCs w:val="24"/>
        </w:rPr>
        <w:t xml:space="preserve"> Level 4 以上 </w:t>
      </w:r>
    </w:p>
    <w:p w14:paraId="2D0EBAD5" w14:textId="77777777" w:rsidR="00286CE3" w:rsidRDefault="00286CE3">
      <w:pPr>
        <w:rPr>
          <w:rFonts w:ascii="標楷體" w:eastAsia="標楷體" w:hAnsi="標楷體"/>
          <w:szCs w:val="24"/>
        </w:rPr>
      </w:pPr>
      <w:r w:rsidRPr="00286CE3">
        <w:rPr>
          <w:rFonts w:ascii="標楷體" w:eastAsia="標楷體" w:hAnsi="標楷體"/>
          <w:szCs w:val="24"/>
        </w:rPr>
        <w:t>第三條：凡日間部四</w:t>
      </w:r>
      <w:proofErr w:type="gramStart"/>
      <w:r w:rsidRPr="00286CE3">
        <w:rPr>
          <w:rFonts w:ascii="標楷體" w:eastAsia="標楷體" w:hAnsi="標楷體"/>
          <w:szCs w:val="24"/>
        </w:rPr>
        <w:t>技生和</w:t>
      </w:r>
      <w:proofErr w:type="gramEnd"/>
      <w:r w:rsidRPr="00286CE3">
        <w:rPr>
          <w:rFonts w:ascii="標楷體" w:eastAsia="標楷體" w:hAnsi="標楷體"/>
          <w:szCs w:val="24"/>
        </w:rPr>
        <w:t>五專生入學後在大</w:t>
      </w:r>
      <w:proofErr w:type="gramStart"/>
      <w:r w:rsidRPr="00286CE3">
        <w:rPr>
          <w:rFonts w:ascii="標楷體" w:eastAsia="標楷體" w:hAnsi="標楷體"/>
          <w:szCs w:val="24"/>
        </w:rPr>
        <w:t>一</w:t>
      </w:r>
      <w:proofErr w:type="gramEnd"/>
      <w:r w:rsidRPr="00286CE3">
        <w:rPr>
          <w:rFonts w:ascii="標楷體" w:eastAsia="標楷體" w:hAnsi="標楷體"/>
          <w:szCs w:val="24"/>
        </w:rPr>
        <w:t>與專三下學期前，未能通過如第二條</w:t>
      </w:r>
    </w:p>
    <w:p w14:paraId="68A50877" w14:textId="77777777" w:rsidR="00286CE3" w:rsidRDefault="00286C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286CE3">
        <w:rPr>
          <w:rFonts w:ascii="標楷體" w:eastAsia="標楷體" w:hAnsi="標楷體"/>
          <w:szCs w:val="24"/>
        </w:rPr>
        <w:t>所列之正式測 驗者，須參加本校所舉辦之「英語能力檢定考試」。唯 103 學</w:t>
      </w:r>
    </w:p>
    <w:p w14:paraId="5428110F" w14:textId="77777777" w:rsidR="00286CE3" w:rsidRDefault="00286C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286CE3">
        <w:rPr>
          <w:rFonts w:ascii="標楷體" w:eastAsia="標楷體" w:hAnsi="標楷體"/>
          <w:szCs w:val="24"/>
        </w:rPr>
        <w:t>年度起入學之四技一年級與 五專一年級新生須至少參加過一次如第二條所列</w:t>
      </w:r>
    </w:p>
    <w:p w14:paraId="6E57938F" w14:textId="77777777" w:rsidR="00286CE3" w:rsidRDefault="00286C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286CE3">
        <w:rPr>
          <w:rFonts w:ascii="標楷體" w:eastAsia="標楷體" w:hAnsi="標楷體"/>
          <w:szCs w:val="24"/>
        </w:rPr>
        <w:t>之考試項目，始可參加校內「英語能力檢 定考試」。其考試成績與該學期之</w:t>
      </w:r>
    </w:p>
    <w:p w14:paraId="12D52297" w14:textId="77777777" w:rsidR="00286CE3" w:rsidRDefault="00286C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286CE3">
        <w:rPr>
          <w:rFonts w:ascii="標楷體" w:eastAsia="標楷體" w:hAnsi="標楷體"/>
          <w:szCs w:val="24"/>
        </w:rPr>
        <w:t>英文成績合併計算，並達及格標準者，始符合本校第一 階段之英文畢業門檻</w:t>
      </w:r>
    </w:p>
    <w:p w14:paraId="0F61A52C" w14:textId="2C848913" w:rsidR="00286CE3" w:rsidRDefault="00286C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286CE3">
        <w:rPr>
          <w:rFonts w:ascii="標楷體" w:eastAsia="標楷體" w:hAnsi="標楷體"/>
          <w:szCs w:val="24"/>
        </w:rPr>
        <w:t xml:space="preserve">需求。 </w:t>
      </w:r>
    </w:p>
    <w:p w14:paraId="459DA6CD" w14:textId="77777777" w:rsidR="00286CE3" w:rsidRDefault="00286CE3">
      <w:pPr>
        <w:rPr>
          <w:rFonts w:ascii="標楷體" w:eastAsia="標楷體" w:hAnsi="標楷體"/>
          <w:szCs w:val="24"/>
        </w:rPr>
      </w:pPr>
      <w:r w:rsidRPr="00286CE3">
        <w:rPr>
          <w:rFonts w:ascii="標楷體" w:eastAsia="標楷體" w:hAnsi="標楷體"/>
          <w:szCs w:val="24"/>
        </w:rPr>
        <w:t>第四條：各系所教學單位並得視學生應具備之英語基本能力，自訂第二階段「英語證</w:t>
      </w:r>
    </w:p>
    <w:p w14:paraId="29D0E8CC" w14:textId="77777777" w:rsidR="00286CE3" w:rsidRDefault="00286C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286CE3">
        <w:rPr>
          <w:rFonts w:ascii="標楷體" w:eastAsia="標楷體" w:hAnsi="標楷體"/>
          <w:szCs w:val="24"/>
        </w:rPr>
        <w:t>照」及「英語 基本能力」之畢業檢定標準。唯 105 學年入學之學生須經各</w:t>
      </w:r>
    </w:p>
    <w:p w14:paraId="1619F162" w14:textId="5A252E83" w:rsidR="00286CE3" w:rsidRDefault="00286C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286CE3">
        <w:rPr>
          <w:rFonts w:ascii="標楷體" w:eastAsia="標楷體" w:hAnsi="標楷體"/>
          <w:szCs w:val="24"/>
        </w:rPr>
        <w:t xml:space="preserve">系審核規定標準通過後，始符 合本校之英文畢業門檻。 </w:t>
      </w:r>
    </w:p>
    <w:p w14:paraId="56DCBD67" w14:textId="77777777" w:rsidR="00286CE3" w:rsidRDefault="00286CE3">
      <w:pPr>
        <w:rPr>
          <w:rFonts w:ascii="標楷體" w:eastAsia="標楷體" w:hAnsi="標楷體"/>
          <w:szCs w:val="24"/>
        </w:rPr>
      </w:pPr>
      <w:r w:rsidRPr="00286CE3">
        <w:rPr>
          <w:rFonts w:ascii="標楷體" w:eastAsia="標楷體" w:hAnsi="標楷體"/>
          <w:szCs w:val="24"/>
        </w:rPr>
        <w:t>第五條：各教學單位應視第二階段訂定之「英語基本能力」標準，規劃教學及輔導之</w:t>
      </w:r>
    </w:p>
    <w:p w14:paraId="78FABD2A" w14:textId="77777777" w:rsidR="00286CE3" w:rsidRDefault="00286C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286CE3">
        <w:rPr>
          <w:rFonts w:ascii="標楷體" w:eastAsia="標楷體" w:hAnsi="標楷體"/>
          <w:szCs w:val="24"/>
        </w:rPr>
        <w:t>補救措施。各 教學單位依本辦法自行訂定之學生基本能力畢業檢定標準及作</w:t>
      </w:r>
    </w:p>
    <w:p w14:paraId="79FB7037" w14:textId="77777777" w:rsidR="00286CE3" w:rsidRDefault="00286C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286CE3">
        <w:rPr>
          <w:rFonts w:ascii="標楷體" w:eastAsia="標楷體" w:hAnsi="標楷體"/>
          <w:szCs w:val="24"/>
        </w:rPr>
        <w:t>業規定，應經各院</w:t>
      </w:r>
      <w:proofErr w:type="gramStart"/>
      <w:r w:rsidRPr="00286CE3">
        <w:rPr>
          <w:rFonts w:ascii="標楷體" w:eastAsia="標楷體" w:hAnsi="標楷體"/>
          <w:szCs w:val="24"/>
        </w:rPr>
        <w:t>院務</w:t>
      </w:r>
      <w:proofErr w:type="gramEnd"/>
      <w:r w:rsidRPr="00286CE3">
        <w:rPr>
          <w:rFonts w:ascii="標楷體" w:eastAsia="標楷體" w:hAnsi="標楷體"/>
          <w:szCs w:val="24"/>
        </w:rPr>
        <w:t>會議 審議後，送教務會議審議通過後始得施行。(詳</w:t>
      </w:r>
    </w:p>
    <w:p w14:paraId="5778647C" w14:textId="01E04243" w:rsidR="00286CE3" w:rsidRDefault="00286C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proofErr w:type="gramStart"/>
      <w:r w:rsidRPr="00286CE3">
        <w:rPr>
          <w:rFonts w:ascii="標楷體" w:eastAsia="標楷體" w:hAnsi="標楷體"/>
          <w:szCs w:val="24"/>
        </w:rPr>
        <w:t>參各系</w:t>
      </w:r>
      <w:proofErr w:type="gramEnd"/>
      <w:r w:rsidRPr="00286CE3">
        <w:rPr>
          <w:rFonts w:ascii="標楷體" w:eastAsia="標楷體" w:hAnsi="標楷體"/>
          <w:szCs w:val="24"/>
        </w:rPr>
        <w:t xml:space="preserve">實施辦法附件細則) </w:t>
      </w:r>
    </w:p>
    <w:p w14:paraId="174B2122" w14:textId="77777777" w:rsidR="00286CE3" w:rsidRDefault="00286CE3">
      <w:pPr>
        <w:rPr>
          <w:rFonts w:ascii="標楷體" w:eastAsia="標楷體" w:hAnsi="標楷體"/>
          <w:szCs w:val="24"/>
        </w:rPr>
      </w:pPr>
      <w:r w:rsidRPr="00286CE3">
        <w:rPr>
          <w:rFonts w:ascii="標楷體" w:eastAsia="標楷體" w:hAnsi="標楷體"/>
          <w:szCs w:val="24"/>
        </w:rPr>
        <w:t>第六條：本校學生取得本辦法內之英檢證照時，應依本校學生「英語證照取得奬助金</w:t>
      </w:r>
    </w:p>
    <w:p w14:paraId="4D593857" w14:textId="6E78218D" w:rsidR="00286CE3" w:rsidRDefault="00286C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286CE3">
        <w:rPr>
          <w:rFonts w:ascii="標楷體" w:eastAsia="標楷體" w:hAnsi="標楷體"/>
          <w:szCs w:val="24"/>
        </w:rPr>
        <w:t xml:space="preserve">實施辦法」予 於獎勵之。 </w:t>
      </w:r>
    </w:p>
    <w:p w14:paraId="2DE40758" w14:textId="77777777" w:rsidR="00286CE3" w:rsidRDefault="00286CE3">
      <w:pPr>
        <w:rPr>
          <w:rFonts w:ascii="標楷體" w:eastAsia="標楷體" w:hAnsi="標楷體"/>
          <w:szCs w:val="24"/>
        </w:rPr>
      </w:pPr>
      <w:r w:rsidRPr="00286CE3">
        <w:rPr>
          <w:rFonts w:ascii="標楷體" w:eastAsia="標楷體" w:hAnsi="標楷體"/>
          <w:szCs w:val="24"/>
        </w:rPr>
        <w:lastRenderedPageBreak/>
        <w:t>第七條：凡本校日間部四技大</w:t>
      </w:r>
      <w:proofErr w:type="gramStart"/>
      <w:r w:rsidRPr="00286CE3">
        <w:rPr>
          <w:rFonts w:ascii="標楷體" w:eastAsia="標楷體" w:hAnsi="標楷體"/>
          <w:szCs w:val="24"/>
        </w:rPr>
        <w:t>一</w:t>
      </w:r>
      <w:proofErr w:type="gramEnd"/>
      <w:r w:rsidRPr="00286CE3">
        <w:rPr>
          <w:rFonts w:ascii="標楷體" w:eastAsia="標楷體" w:hAnsi="標楷體"/>
          <w:szCs w:val="24"/>
        </w:rPr>
        <w:t xml:space="preserve">學生均依其能力實施英語能力分級教學。 </w:t>
      </w:r>
    </w:p>
    <w:p w14:paraId="11A53E1B" w14:textId="77777777" w:rsidR="00286CE3" w:rsidRDefault="00286CE3">
      <w:pPr>
        <w:rPr>
          <w:rFonts w:ascii="標楷體" w:eastAsia="標楷體" w:hAnsi="標楷體"/>
          <w:szCs w:val="24"/>
        </w:rPr>
      </w:pPr>
      <w:r w:rsidRPr="00286CE3">
        <w:rPr>
          <w:rFonts w:ascii="標楷體" w:eastAsia="標楷體" w:hAnsi="標楷體"/>
          <w:szCs w:val="24"/>
        </w:rPr>
        <w:t>第八條：所有英語課程在聽、說、讀、寫四大能力應</w:t>
      </w:r>
      <w:proofErr w:type="gramStart"/>
      <w:r w:rsidRPr="00286CE3">
        <w:rPr>
          <w:rFonts w:ascii="標楷體" w:eastAsia="標楷體" w:hAnsi="標楷體"/>
          <w:szCs w:val="24"/>
        </w:rPr>
        <w:t>加入各英檢</w:t>
      </w:r>
      <w:proofErr w:type="gramEnd"/>
      <w:r w:rsidRPr="00286CE3">
        <w:rPr>
          <w:rFonts w:ascii="標楷體" w:eastAsia="標楷體" w:hAnsi="標楷體"/>
          <w:szCs w:val="24"/>
        </w:rPr>
        <w:t>模擬測驗相關教材。</w:t>
      </w:r>
    </w:p>
    <w:p w14:paraId="69B02BF1" w14:textId="05A38A0A" w:rsidR="00286CE3" w:rsidRDefault="00286C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286CE3">
        <w:rPr>
          <w:rFonts w:ascii="標楷體" w:eastAsia="標楷體" w:hAnsi="標楷體"/>
          <w:szCs w:val="24"/>
        </w:rPr>
        <w:t xml:space="preserve">所有任課老師 </w:t>
      </w:r>
      <w:proofErr w:type="gramStart"/>
      <w:r w:rsidRPr="00286CE3">
        <w:rPr>
          <w:rFonts w:ascii="標楷體" w:eastAsia="標楷體" w:hAnsi="標楷體"/>
          <w:szCs w:val="24"/>
        </w:rPr>
        <w:t>均須提供</w:t>
      </w:r>
      <w:proofErr w:type="gramEnd"/>
      <w:r w:rsidRPr="00286CE3">
        <w:rPr>
          <w:rFonts w:ascii="標楷體" w:eastAsia="標楷體" w:hAnsi="標楷體"/>
          <w:szCs w:val="24"/>
        </w:rPr>
        <w:t xml:space="preserve">各項應考資源確實輔導學生證照之取得。 </w:t>
      </w:r>
    </w:p>
    <w:p w14:paraId="2D8D4865" w14:textId="77777777" w:rsidR="00286CE3" w:rsidRDefault="00286CE3">
      <w:pPr>
        <w:rPr>
          <w:rFonts w:ascii="標楷體" w:eastAsia="標楷體" w:hAnsi="標楷體"/>
          <w:szCs w:val="24"/>
        </w:rPr>
      </w:pPr>
      <w:r w:rsidRPr="00286CE3">
        <w:rPr>
          <w:rFonts w:ascii="標楷體" w:eastAsia="標楷體" w:hAnsi="標楷體"/>
          <w:szCs w:val="24"/>
        </w:rPr>
        <w:t>第九條：教學及輔導補救措施，由英文自學中心、各教學單位英文組、教務處、圖資</w:t>
      </w:r>
    </w:p>
    <w:p w14:paraId="619780E0" w14:textId="78B45586" w:rsidR="00286CE3" w:rsidRDefault="00286C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286CE3">
        <w:rPr>
          <w:rFonts w:ascii="標楷體" w:eastAsia="標楷體" w:hAnsi="標楷體"/>
          <w:szCs w:val="24"/>
        </w:rPr>
        <w:t xml:space="preserve">處、研發處等 規劃實施各項軟硬體之教學資源與考試報名之輔導措施。 </w:t>
      </w:r>
    </w:p>
    <w:p w14:paraId="2FD68FA1" w14:textId="77777777" w:rsidR="00286CE3" w:rsidRDefault="00286CE3">
      <w:pPr>
        <w:rPr>
          <w:rFonts w:ascii="標楷體" w:eastAsia="標楷體" w:hAnsi="標楷體"/>
          <w:szCs w:val="24"/>
        </w:rPr>
      </w:pPr>
      <w:r w:rsidRPr="00286CE3">
        <w:rPr>
          <w:rFonts w:ascii="標楷體" w:eastAsia="標楷體" w:hAnsi="標楷體"/>
          <w:szCs w:val="24"/>
        </w:rPr>
        <w:t>第十條：本辦法經通識教育課程委員會與教務會議通過，陳請校長核定實施，修正時</w:t>
      </w:r>
    </w:p>
    <w:p w14:paraId="51BF2AC6" w14:textId="603F4282" w:rsidR="00F26688" w:rsidRPr="00286CE3" w:rsidRDefault="00286C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286CE3">
        <w:rPr>
          <w:rFonts w:ascii="標楷體" w:eastAsia="標楷體" w:hAnsi="標楷體"/>
          <w:szCs w:val="24"/>
        </w:rPr>
        <w:t>亦同，並公告 於通識教育英文自學中心網頁。</w:t>
      </w:r>
    </w:p>
    <w:sectPr w:rsidR="00F26688" w:rsidRPr="00286CE3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4D231" w14:textId="77777777" w:rsidR="0091265B" w:rsidRDefault="0091265B" w:rsidP="00286CE3">
      <w:r>
        <w:separator/>
      </w:r>
    </w:p>
  </w:endnote>
  <w:endnote w:type="continuationSeparator" w:id="0">
    <w:p w14:paraId="43A6323A" w14:textId="77777777" w:rsidR="0091265B" w:rsidRDefault="0091265B" w:rsidP="0028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9EFBD" w14:textId="77777777" w:rsidR="0091265B" w:rsidRDefault="0091265B" w:rsidP="00286CE3">
      <w:r>
        <w:separator/>
      </w:r>
    </w:p>
  </w:footnote>
  <w:footnote w:type="continuationSeparator" w:id="0">
    <w:p w14:paraId="0157D1CA" w14:textId="77777777" w:rsidR="0091265B" w:rsidRDefault="0091265B" w:rsidP="00286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88"/>
    <w:rsid w:val="00286CE3"/>
    <w:rsid w:val="0091265B"/>
    <w:rsid w:val="00F2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057A1"/>
  <w15:chartTrackingRefBased/>
  <w15:docId w15:val="{B924BCBF-BEB7-4389-A9C1-C1EE3006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C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6C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6C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6C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</dc:creator>
  <cp:keywords/>
  <dc:description/>
  <cp:lastModifiedBy>user</cp:lastModifiedBy>
  <cp:revision>2</cp:revision>
  <dcterms:created xsi:type="dcterms:W3CDTF">2024-08-19T07:28:00Z</dcterms:created>
  <dcterms:modified xsi:type="dcterms:W3CDTF">2024-09-03T00:32:00Z</dcterms:modified>
</cp:coreProperties>
</file>