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D4E7" w14:textId="56DA7F63" w:rsidR="00363FCA" w:rsidRDefault="002A63F9">
      <w:pPr>
        <w:rPr>
          <w:rFonts w:eastAsia="標楷體"/>
          <w:b/>
          <w:color w:val="000000" w:themeColor="text1"/>
          <w:lang w:eastAsia="zh-TW"/>
        </w:rPr>
      </w:pPr>
      <w:r w:rsidRPr="00EB54CD">
        <w:rPr>
          <w:rFonts w:eastAsia="標楷體" w:hint="eastAsia"/>
          <w:b/>
          <w:color w:val="000000" w:themeColor="text1"/>
        </w:rPr>
        <w:t>附件</w:t>
      </w:r>
      <w:r w:rsidRPr="00EB54CD">
        <w:rPr>
          <w:rFonts w:eastAsia="標楷體" w:hint="eastAsia"/>
          <w:b/>
          <w:color w:val="000000" w:themeColor="text1"/>
        </w:rPr>
        <w:t>2-</w:t>
      </w:r>
      <w:r w:rsidR="00ED77CC">
        <w:rPr>
          <w:rFonts w:eastAsia="標楷體" w:hint="eastAsia"/>
          <w:b/>
          <w:color w:val="000000" w:themeColor="text1"/>
          <w:lang w:eastAsia="zh-TW"/>
        </w:rPr>
        <w:t>7</w:t>
      </w:r>
    </w:p>
    <w:p w14:paraId="058B8947" w14:textId="2F4ECEEE" w:rsidR="000421B6" w:rsidRDefault="000421B6" w:rsidP="00A02B0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7"/>
          <w:rFonts w:ascii="微軟正黑體" w:eastAsia="微軟正黑體" w:hAnsi="微軟正黑體"/>
          <w:color w:val="444444"/>
          <w:sz w:val="36"/>
          <w:szCs w:val="36"/>
          <w:shd w:val="clear" w:color="auto" w:fill="E7E6E6" w:themeFill="background2"/>
        </w:rPr>
      </w:pPr>
      <w:r>
        <w:rPr>
          <w:rStyle w:val="a7"/>
          <w:rFonts w:ascii="微軟正黑體" w:eastAsia="微軟正黑體" w:hAnsi="微軟正黑體" w:hint="eastAsia"/>
          <w:color w:val="444444"/>
          <w:sz w:val="36"/>
          <w:szCs w:val="36"/>
          <w:shd w:val="clear" w:color="auto" w:fill="E7E6E6" w:themeFill="background2"/>
        </w:rPr>
        <w:t>中華</w:t>
      </w:r>
      <w:proofErr w:type="gramStart"/>
      <w:r>
        <w:rPr>
          <w:rStyle w:val="a7"/>
          <w:rFonts w:ascii="微軟正黑體" w:eastAsia="微軟正黑體" w:hAnsi="微軟正黑體" w:hint="eastAsia"/>
          <w:color w:val="444444"/>
          <w:sz w:val="36"/>
          <w:szCs w:val="36"/>
          <w:shd w:val="clear" w:color="auto" w:fill="E7E6E6" w:themeFill="background2"/>
        </w:rPr>
        <w:t>醫</w:t>
      </w:r>
      <w:proofErr w:type="gramEnd"/>
      <w:r>
        <w:rPr>
          <w:rStyle w:val="a7"/>
          <w:rFonts w:ascii="微軟正黑體" w:eastAsia="微軟正黑體" w:hAnsi="微軟正黑體" w:hint="eastAsia"/>
          <w:color w:val="444444"/>
          <w:sz w:val="36"/>
          <w:szCs w:val="36"/>
          <w:shd w:val="clear" w:color="auto" w:fill="E7E6E6" w:themeFill="background2"/>
        </w:rPr>
        <w:t>事科技大學推動教師專業社群實施辦法</w:t>
      </w:r>
    </w:p>
    <w:p w14:paraId="4B77E9B8" w14:textId="7D653E6C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微軟正黑體" w:eastAsia="微軟正黑體" w:hAnsi="微軟正黑體"/>
          <w:color w:val="444444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444444"/>
          <w:sz w:val="36"/>
          <w:szCs w:val="36"/>
        </w:rPr>
        <w:t>                           </w:t>
      </w:r>
      <w:r>
        <w:rPr>
          <w:rFonts w:ascii="微軟正黑體" w:eastAsia="微軟正黑體" w:hAnsi="微軟正黑體" w:hint="eastAsia"/>
          <w:color w:val="444444"/>
        </w:rPr>
        <w:t>      </w:t>
      </w:r>
    </w:p>
    <w:p w14:paraId="524E1235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jc w:val="right"/>
        <w:rPr>
          <w:rFonts w:ascii="微軟正黑體" w:eastAsia="微軟正黑體" w:hAnsi="微軟正黑體" w:hint="eastAsia"/>
          <w:color w:val="444444"/>
        </w:rPr>
      </w:pP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104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年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3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月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2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日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103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學年度第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2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學期第2次行政會議通過</w:t>
      </w:r>
    </w:p>
    <w:p w14:paraId="181D5758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jc w:val="right"/>
        <w:rPr>
          <w:rFonts w:ascii="微軟正黑體" w:eastAsia="微軟正黑體" w:hAnsi="微軟正黑體" w:hint="eastAsia"/>
          <w:color w:val="444444"/>
        </w:rPr>
      </w:pP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107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年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3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月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26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日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106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學年度第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2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學期第2次行政會議通過</w:t>
      </w:r>
    </w:p>
    <w:p w14:paraId="38AC8783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jc w:val="right"/>
        <w:rPr>
          <w:rFonts w:ascii="微軟正黑體" w:eastAsia="微軟正黑體" w:hAnsi="微軟正黑體" w:hint="eastAsia"/>
          <w:color w:val="444444"/>
        </w:rPr>
      </w:pPr>
      <w:r>
        <w:rPr>
          <w:rFonts w:ascii="Times New Roman" w:eastAsia="微軟正黑體" w:hAnsi="Times New Roman" w:cs="Times New Roman"/>
          <w:color w:val="FF0000"/>
          <w:sz w:val="27"/>
          <w:szCs w:val="27"/>
        </w:rPr>
        <w:t>111</w:t>
      </w:r>
      <w:r>
        <w:rPr>
          <w:rFonts w:ascii="標楷體" w:eastAsia="標楷體" w:hAnsi="標楷體" w:cs="Calibri" w:hint="eastAsia"/>
          <w:color w:val="FF0000"/>
          <w:sz w:val="27"/>
          <w:szCs w:val="27"/>
        </w:rPr>
        <w:t>年</w:t>
      </w:r>
      <w:r>
        <w:rPr>
          <w:rFonts w:ascii="Times New Roman" w:eastAsia="微軟正黑體" w:hAnsi="Times New Roman" w:cs="Times New Roman"/>
          <w:color w:val="FF0000"/>
          <w:sz w:val="27"/>
          <w:szCs w:val="27"/>
        </w:rPr>
        <w:t>3</w:t>
      </w:r>
      <w:r>
        <w:rPr>
          <w:rFonts w:ascii="標楷體" w:eastAsia="標楷體" w:hAnsi="標楷體" w:cs="Calibri" w:hint="eastAsia"/>
          <w:color w:val="FF0000"/>
          <w:sz w:val="27"/>
          <w:szCs w:val="27"/>
        </w:rPr>
        <w:t>月</w:t>
      </w:r>
      <w:r>
        <w:rPr>
          <w:rFonts w:ascii="Times New Roman" w:eastAsia="微軟正黑體" w:hAnsi="Times New Roman" w:cs="Times New Roman"/>
          <w:color w:val="FF0000"/>
          <w:sz w:val="27"/>
          <w:szCs w:val="27"/>
        </w:rPr>
        <w:t>21</w:t>
      </w:r>
      <w:r>
        <w:rPr>
          <w:rFonts w:ascii="標楷體" w:eastAsia="標楷體" w:hAnsi="標楷體" w:cs="Calibri" w:hint="eastAsia"/>
          <w:color w:val="FF0000"/>
          <w:sz w:val="27"/>
          <w:szCs w:val="27"/>
        </w:rPr>
        <w:t>日</w:t>
      </w:r>
      <w:r>
        <w:rPr>
          <w:rFonts w:ascii="Times New Roman" w:eastAsia="微軟正黑體" w:hAnsi="Times New Roman" w:cs="Times New Roman"/>
          <w:color w:val="FF0000"/>
          <w:sz w:val="27"/>
          <w:szCs w:val="27"/>
        </w:rPr>
        <w:t>110</w:t>
      </w:r>
      <w:r>
        <w:rPr>
          <w:rFonts w:ascii="標楷體" w:eastAsia="標楷體" w:hAnsi="標楷體" w:cs="Calibri" w:hint="eastAsia"/>
          <w:color w:val="FF0000"/>
          <w:sz w:val="27"/>
          <w:szCs w:val="27"/>
        </w:rPr>
        <w:t>學年度第</w:t>
      </w:r>
      <w:r>
        <w:rPr>
          <w:rFonts w:ascii="Times New Roman" w:eastAsia="微軟正黑體" w:hAnsi="Times New Roman" w:cs="Times New Roman"/>
          <w:color w:val="FF0000"/>
          <w:sz w:val="27"/>
          <w:szCs w:val="27"/>
        </w:rPr>
        <w:t>2</w:t>
      </w:r>
      <w:r>
        <w:rPr>
          <w:rFonts w:ascii="標楷體" w:eastAsia="標楷體" w:hAnsi="標楷體" w:cs="Calibri" w:hint="eastAsia"/>
          <w:color w:val="FF0000"/>
          <w:sz w:val="27"/>
          <w:szCs w:val="27"/>
        </w:rPr>
        <w:t>學期第</w:t>
      </w:r>
      <w:r>
        <w:rPr>
          <w:rFonts w:ascii="Times New Roman" w:eastAsia="微軟正黑體" w:hAnsi="Times New Roman" w:cs="Times New Roman"/>
          <w:color w:val="FF0000"/>
          <w:sz w:val="27"/>
          <w:szCs w:val="27"/>
        </w:rPr>
        <w:t>4</w:t>
      </w:r>
      <w:r>
        <w:rPr>
          <w:rFonts w:ascii="標楷體" w:eastAsia="標楷體" w:hAnsi="標楷體" w:cs="Calibri" w:hint="eastAsia"/>
          <w:color w:val="FF0000"/>
          <w:sz w:val="27"/>
          <w:szCs w:val="27"/>
        </w:rPr>
        <w:t>次行政會議通過</w:t>
      </w:r>
    </w:p>
    <w:p w14:paraId="4DD77D70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840" w:hanging="84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444444"/>
          <w:sz w:val="27"/>
          <w:szCs w:val="27"/>
        </w:rPr>
        <w:t>第一條</w:t>
      </w:r>
      <w:r>
        <w:rPr>
          <w:rFonts w:ascii="Calibri" w:eastAsia="微軟正黑體" w:hAnsi="Calibri" w:cs="Calibri"/>
          <w:color w:val="444444"/>
          <w:sz w:val="27"/>
          <w:szCs w:val="27"/>
        </w:rPr>
        <w:t>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本辦法依據本校推動教師專業社群實施辦法第四條訂定之。並</w:t>
      </w:r>
      <w:r>
        <w:rPr>
          <w:rFonts w:ascii="標楷體" w:eastAsia="標楷體" w:hAnsi="標楷體" w:cs="Calibri" w:hint="eastAsia"/>
          <w:color w:val="000000"/>
          <w:sz w:val="27"/>
          <w:szCs w:val="27"/>
        </w:rPr>
        <w:t>依據本校教育部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高等教育深耕計畫</w:t>
      </w:r>
      <w:r>
        <w:rPr>
          <w:rFonts w:ascii="標楷體" w:eastAsia="標楷體" w:hAnsi="標楷體" w:cs="Calibri" w:hint="eastAsia"/>
          <w:color w:val="000000"/>
          <w:sz w:val="27"/>
          <w:szCs w:val="27"/>
        </w:rPr>
        <w:t>辦理。</w:t>
      </w:r>
    </w:p>
    <w:p w14:paraId="5EF40B26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444444"/>
          <w:sz w:val="27"/>
          <w:szCs w:val="27"/>
        </w:rPr>
        <w:t>第二條 實施對象</w:t>
      </w:r>
    </w:p>
    <w:p w14:paraId="535CAC5C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855" w:hanging="85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Calibri" w:eastAsia="微軟正黑體" w:hAnsi="Calibri" w:cs="Calibri"/>
          <w:color w:val="444444"/>
          <w:sz w:val="27"/>
          <w:szCs w:val="27"/>
        </w:rPr>
        <w:t>      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一、凡本校專任</w:t>
      </w:r>
      <w:proofErr w:type="gramStart"/>
      <w:r>
        <w:rPr>
          <w:rFonts w:ascii="標楷體" w:eastAsia="標楷體" w:hAnsi="標楷體" w:cs="Calibri" w:hint="eastAsia"/>
          <w:color w:val="444444"/>
          <w:sz w:val="27"/>
          <w:szCs w:val="27"/>
        </w:rPr>
        <w:t>教師均有義務</w:t>
      </w:r>
      <w:proofErr w:type="gramEnd"/>
      <w:r>
        <w:rPr>
          <w:rFonts w:ascii="標楷體" w:eastAsia="標楷體" w:hAnsi="標楷體" w:cs="Calibri" w:hint="eastAsia"/>
          <w:color w:val="444444"/>
          <w:sz w:val="27"/>
          <w:szCs w:val="27"/>
        </w:rPr>
        <w:t>參加教師社群，兼任教師得自由參加。</w:t>
      </w:r>
    </w:p>
    <w:p w14:paraId="254D336B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1275" w:hanging="1274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Calibri" w:eastAsia="微軟正黑體" w:hAnsi="Calibri" w:cs="Calibri"/>
          <w:color w:val="444444"/>
          <w:sz w:val="27"/>
          <w:szCs w:val="27"/>
        </w:rPr>
        <w:t>      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二、每</w:t>
      </w:r>
      <w:proofErr w:type="gramStart"/>
      <w:r>
        <w:rPr>
          <w:rFonts w:ascii="標楷體" w:eastAsia="標楷體" w:hAnsi="標楷體" w:cs="Calibri" w:hint="eastAsia"/>
          <w:color w:val="444444"/>
          <w:sz w:val="27"/>
          <w:szCs w:val="27"/>
        </w:rPr>
        <w:t>個</w:t>
      </w:r>
      <w:proofErr w:type="gramEnd"/>
      <w:r>
        <w:rPr>
          <w:rFonts w:ascii="標楷體" w:eastAsia="標楷體" w:hAnsi="標楷體" w:cs="Calibri" w:hint="eastAsia"/>
          <w:color w:val="444444"/>
          <w:sz w:val="27"/>
          <w:szCs w:val="27"/>
        </w:rPr>
        <w:t>教師社群由專兼任教師為主要成員，但亦</w:t>
      </w:r>
      <w:r>
        <w:rPr>
          <w:rFonts w:ascii="標楷體" w:eastAsia="標楷體" w:hAnsi="標楷體" w:cs="Calibri" w:hint="eastAsia"/>
          <w:color w:val="FF0000"/>
          <w:sz w:val="27"/>
          <w:szCs w:val="27"/>
        </w:rPr>
        <w:t>得邀請高中職與國中教師級校內外學生參加，惟教師人數須</w:t>
      </w:r>
      <w:proofErr w:type="gramStart"/>
      <w:r>
        <w:rPr>
          <w:rFonts w:ascii="標楷體" w:eastAsia="標楷體" w:hAnsi="標楷體" w:cs="Calibri" w:hint="eastAsia"/>
          <w:color w:val="FF0000"/>
          <w:sz w:val="27"/>
          <w:szCs w:val="27"/>
        </w:rPr>
        <w:t>佔</w:t>
      </w:r>
      <w:proofErr w:type="gramEnd"/>
      <w:r>
        <w:rPr>
          <w:rFonts w:ascii="標楷體" w:eastAsia="標楷體" w:hAnsi="標楷體" w:cs="Calibri" w:hint="eastAsia"/>
          <w:color w:val="FF0000"/>
          <w:sz w:val="27"/>
          <w:szCs w:val="27"/>
        </w:rPr>
        <w:t>一半以上，教師社群成員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至少5位以上共同組成為宜，其中互相推舉一位專任教師擔任召集人，負責社群活動之</w:t>
      </w:r>
      <w:proofErr w:type="gramStart"/>
      <w:r>
        <w:rPr>
          <w:rFonts w:ascii="標楷體" w:eastAsia="標楷體" w:hAnsi="標楷體" w:cs="Calibri" w:hint="eastAsia"/>
          <w:color w:val="444444"/>
          <w:sz w:val="27"/>
          <w:szCs w:val="27"/>
        </w:rPr>
        <w:t>規</w:t>
      </w:r>
      <w:proofErr w:type="gramEnd"/>
      <w:r>
        <w:rPr>
          <w:rFonts w:ascii="標楷體" w:eastAsia="標楷體" w:hAnsi="標楷體" w:cs="Calibri" w:hint="eastAsia"/>
          <w:color w:val="444444"/>
          <w:sz w:val="27"/>
          <w:szCs w:val="27"/>
        </w:rPr>
        <w:t>畫、聯繫與相關成果彙整。</w:t>
      </w:r>
    </w:p>
    <w:p w14:paraId="1DBA5C3A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1275" w:hanging="422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444444"/>
          <w:sz w:val="27"/>
          <w:szCs w:val="27"/>
        </w:rPr>
        <w:t>三、社群成員得以同系院、跨系院或跨校組成。每位教師至少參加一個以上之教師社群；亦得持續參加同一教師社群。</w:t>
      </w:r>
    </w:p>
    <w:p w14:paraId="1170D412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444444"/>
          <w:sz w:val="27"/>
          <w:szCs w:val="27"/>
        </w:rPr>
        <w:t>第三條 實施範圍</w:t>
      </w:r>
    </w:p>
    <w:p w14:paraId="30847674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1410" w:hanging="77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Calibri" w:eastAsia="微軟正黑體" w:hAnsi="Calibri" w:cs="Calibri"/>
          <w:color w:val="444444"/>
          <w:sz w:val="27"/>
          <w:szCs w:val="27"/>
        </w:rPr>
        <w:t> 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一、研討課程教材研發、教學方法創新、評量方法革新、教具研發製作等等，有關課程、教學與評量之課題。</w:t>
      </w:r>
    </w:p>
    <w:p w14:paraId="64C117A8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1410" w:hanging="77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Calibri" w:eastAsia="微軟正黑體" w:hAnsi="Calibri" w:cs="Calibri"/>
          <w:color w:val="444444"/>
          <w:sz w:val="27"/>
          <w:szCs w:val="27"/>
        </w:rPr>
        <w:t> 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二、研討產學合作、實務專題製作、證照輔導、專利研發、競賽指導等等，有關提升學生就業競爭力之課題。</w:t>
      </w:r>
    </w:p>
    <w:p w14:paraId="5EB567DD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1335" w:hanging="1337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Calibri" w:eastAsia="微軟正黑體" w:hAnsi="Calibri" w:cs="Calibri"/>
          <w:color w:val="444444"/>
          <w:sz w:val="27"/>
          <w:szCs w:val="27"/>
        </w:rPr>
        <w:t>      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三、研討師生校外專業服務學習、職</w:t>
      </w:r>
      <w:proofErr w:type="gramStart"/>
      <w:r>
        <w:rPr>
          <w:rFonts w:ascii="標楷體" w:eastAsia="標楷體" w:hAnsi="標楷體" w:cs="Calibri" w:hint="eastAsia"/>
          <w:color w:val="444444"/>
          <w:sz w:val="27"/>
          <w:szCs w:val="27"/>
        </w:rPr>
        <w:t>涯</w:t>
      </w:r>
      <w:proofErr w:type="gramEnd"/>
      <w:r>
        <w:rPr>
          <w:rFonts w:ascii="標楷體" w:eastAsia="標楷體" w:hAnsi="標楷體" w:cs="Calibri" w:hint="eastAsia"/>
          <w:color w:val="444444"/>
          <w:sz w:val="27"/>
          <w:szCs w:val="27"/>
        </w:rPr>
        <w:t>就業輔導、心理輔導、班級經營等等，有關專業服務與學生輔導之課題。</w:t>
      </w:r>
    </w:p>
    <w:p w14:paraId="705E6F56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1335" w:hanging="1337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Calibri" w:eastAsia="微軟正黑體" w:hAnsi="Calibri" w:cs="Calibri"/>
          <w:color w:val="444444"/>
          <w:sz w:val="27"/>
          <w:szCs w:val="27"/>
        </w:rPr>
        <w:t>      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四、研討其它教師有興趣之課題。</w:t>
      </w:r>
    </w:p>
    <w:p w14:paraId="71E21F37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855" w:hanging="85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000000"/>
          <w:sz w:val="27"/>
          <w:szCs w:val="27"/>
        </w:rPr>
        <w:t>第四條 申請者應填妥書面申請表、補助計畫書及電子檔，於規定期限向教學發展中心提出申請。由教學發展中心「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高等教育深耕計畫推動小組」</w:t>
      </w:r>
      <w:r>
        <w:rPr>
          <w:rFonts w:ascii="標楷體" w:eastAsia="標楷體" w:hAnsi="標楷體" w:cs="Calibri" w:hint="eastAsia"/>
          <w:color w:val="000000"/>
          <w:sz w:val="27"/>
          <w:szCs w:val="27"/>
        </w:rPr>
        <w:t>，依據完整性30％、創新性30％、可應用性40％等項目進行審查，再依審查結果核撥經費。</w:t>
      </w:r>
    </w:p>
    <w:p w14:paraId="0AD46D41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855" w:hanging="85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000000"/>
          <w:sz w:val="27"/>
          <w:szCs w:val="27"/>
        </w:rPr>
        <w:lastRenderedPageBreak/>
        <w:t>第五條 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每一申請案補助得視當年度編列經費酌予增減，另行公告。</w:t>
      </w:r>
      <w:r>
        <w:rPr>
          <w:rFonts w:ascii="標楷體" w:eastAsia="標楷體" w:hAnsi="標楷體" w:cs="Calibri" w:hint="eastAsia"/>
          <w:color w:val="000000"/>
          <w:sz w:val="27"/>
          <w:szCs w:val="27"/>
        </w:rPr>
        <w:t>經費使用及核銷需符合計畫相關規定，並於規定期限檢送原始憑證辦理經費核銷。</w:t>
      </w:r>
    </w:p>
    <w:p w14:paraId="12701C3A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855" w:hanging="85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000000"/>
          <w:sz w:val="27"/>
          <w:szCs w:val="27"/>
        </w:rPr>
        <w:t>第六條 獲經費補助社群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至少研討五次，並作成成果紀錄。研討形式不拘，可</w:t>
      </w:r>
      <w:proofErr w:type="gramStart"/>
      <w:r>
        <w:rPr>
          <w:rFonts w:ascii="標楷體" w:eastAsia="標楷體" w:hAnsi="標楷體" w:cs="Calibri" w:hint="eastAsia"/>
          <w:color w:val="444444"/>
          <w:sz w:val="27"/>
          <w:szCs w:val="27"/>
        </w:rPr>
        <w:t>採</w:t>
      </w:r>
      <w:proofErr w:type="gramEnd"/>
      <w:r>
        <w:rPr>
          <w:rFonts w:ascii="標楷體" w:eastAsia="標楷體" w:hAnsi="標楷體" w:cs="Calibri" w:hint="eastAsia"/>
          <w:color w:val="444444"/>
          <w:sz w:val="27"/>
          <w:szCs w:val="27"/>
        </w:rPr>
        <w:t>面對面、視訊、</w:t>
      </w:r>
      <w:r>
        <w:rPr>
          <w:rFonts w:ascii="Times New Roman" w:eastAsia="微軟正黑體" w:hAnsi="Times New Roman" w:cs="Times New Roman"/>
          <w:color w:val="444444"/>
          <w:sz w:val="27"/>
          <w:szCs w:val="27"/>
        </w:rPr>
        <w:t>line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、數位平台等多元方式。需</w:t>
      </w:r>
      <w:r>
        <w:rPr>
          <w:rFonts w:ascii="標楷體" w:eastAsia="標楷體" w:hAnsi="標楷體" w:cs="Calibri" w:hint="eastAsia"/>
          <w:color w:val="000000"/>
          <w:sz w:val="27"/>
          <w:szCs w:val="27"/>
        </w:rPr>
        <w:t>於規定期間繳交「教師專業社群成果報告」到教學發展中心。成果報告</w:t>
      </w:r>
      <w:r>
        <w:rPr>
          <w:rFonts w:ascii="標楷體" w:eastAsia="標楷體" w:hAnsi="標楷體" w:cs="Calibri" w:hint="eastAsia"/>
          <w:color w:val="444444"/>
          <w:sz w:val="27"/>
          <w:szCs w:val="27"/>
        </w:rPr>
        <w:t>可包括：研討主題、時間、地點、出席者簽到表、照片、研討內容及相關成果等。亦可依據社群特性自行設計。</w:t>
      </w:r>
      <w:r>
        <w:rPr>
          <w:rFonts w:ascii="標楷體" w:eastAsia="標楷體" w:hAnsi="標楷體" w:cs="Calibri" w:hint="eastAsia"/>
          <w:color w:val="000000"/>
          <w:sz w:val="27"/>
          <w:szCs w:val="27"/>
        </w:rPr>
        <w:t>於成果發表會中進行口頭發表。並同意將所完成之相關資料置於教學發展中心網站及出版成果報告，供全校教師觀摩學習。</w:t>
      </w:r>
    </w:p>
    <w:p w14:paraId="71F786BA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ind w:left="855" w:hanging="850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Arial Unicode MS" w:hint="eastAsia"/>
          <w:color w:val="444444"/>
          <w:sz w:val="27"/>
          <w:szCs w:val="27"/>
        </w:rPr>
        <w:t>第七條 </w:t>
      </w:r>
      <w:r>
        <w:rPr>
          <w:rFonts w:ascii="標楷體" w:eastAsia="標楷體" w:hAnsi="標楷體" w:cs="Arial Unicode MS" w:hint="eastAsia"/>
          <w:color w:val="000000"/>
          <w:sz w:val="27"/>
          <w:szCs w:val="27"/>
        </w:rPr>
        <w:t>本辦法所需經費，由本校「</w:t>
      </w:r>
      <w:r>
        <w:rPr>
          <w:rFonts w:ascii="標楷體" w:eastAsia="標楷體" w:hAnsi="標楷體" w:cs="Arial Unicode MS" w:hint="eastAsia"/>
          <w:color w:val="444444"/>
          <w:sz w:val="27"/>
          <w:szCs w:val="27"/>
        </w:rPr>
        <w:t>教育部高等教育深耕計畫</w:t>
      </w:r>
      <w:r>
        <w:rPr>
          <w:rFonts w:ascii="標楷體" w:eastAsia="標楷體" w:hAnsi="標楷體" w:cs="Arial Unicode MS" w:hint="eastAsia"/>
          <w:color w:val="000000"/>
          <w:sz w:val="27"/>
          <w:szCs w:val="27"/>
        </w:rPr>
        <w:t>」經費支應。</w:t>
      </w:r>
    </w:p>
    <w:p w14:paraId="3FF88D79" w14:textId="77777777" w:rsidR="00A02B0D" w:rsidRDefault="00A02B0D" w:rsidP="00A02B0D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微軟正黑體" w:eastAsia="微軟正黑體" w:hAnsi="微軟正黑體" w:hint="eastAsia"/>
          <w:color w:val="444444"/>
        </w:rPr>
      </w:pPr>
      <w:r>
        <w:rPr>
          <w:rFonts w:ascii="標楷體" w:eastAsia="標楷體" w:hAnsi="標楷體" w:cs="Calibri" w:hint="eastAsia"/>
          <w:color w:val="444444"/>
          <w:sz w:val="27"/>
          <w:szCs w:val="27"/>
        </w:rPr>
        <w:t>第八條 本辦法經行政會議通過，陳請校長核定後公布實施，修正時亦同。</w:t>
      </w:r>
    </w:p>
    <w:p w14:paraId="1755E8B0" w14:textId="77777777" w:rsidR="00A02B0D" w:rsidRPr="00A02B0D" w:rsidRDefault="00A02B0D">
      <w:pPr>
        <w:rPr>
          <w:rFonts w:hint="eastAsia"/>
        </w:rPr>
      </w:pPr>
    </w:p>
    <w:sectPr w:rsidR="00A02B0D" w:rsidRPr="00A0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10EE" w14:textId="77777777" w:rsidR="009948DD" w:rsidRDefault="009948DD" w:rsidP="00ED77CC">
      <w:pPr>
        <w:spacing w:after="0" w:line="240" w:lineRule="auto"/>
      </w:pPr>
      <w:r>
        <w:separator/>
      </w:r>
    </w:p>
  </w:endnote>
  <w:endnote w:type="continuationSeparator" w:id="0">
    <w:p w14:paraId="5C6CA46B" w14:textId="77777777" w:rsidR="009948DD" w:rsidRDefault="009948DD" w:rsidP="00ED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2398A" w14:textId="77777777" w:rsidR="009948DD" w:rsidRDefault="009948DD" w:rsidP="00ED77CC">
      <w:pPr>
        <w:spacing w:after="0" w:line="240" w:lineRule="auto"/>
      </w:pPr>
      <w:r>
        <w:separator/>
      </w:r>
    </w:p>
  </w:footnote>
  <w:footnote w:type="continuationSeparator" w:id="0">
    <w:p w14:paraId="1AF440F5" w14:textId="77777777" w:rsidR="009948DD" w:rsidRDefault="009948DD" w:rsidP="00ED7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F9"/>
    <w:rsid w:val="000421B6"/>
    <w:rsid w:val="002A63F9"/>
    <w:rsid w:val="00363FCA"/>
    <w:rsid w:val="0041563F"/>
    <w:rsid w:val="009948DD"/>
    <w:rsid w:val="00A02B0D"/>
    <w:rsid w:val="00BA7156"/>
    <w:rsid w:val="00D20098"/>
    <w:rsid w:val="00E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1B348"/>
  <w15:chartTrackingRefBased/>
  <w15:docId w15:val="{71FCFE1A-4D2E-4BFC-8A8D-4377CAD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新細明體" w:eastAsiaTheme="majorEastAsia" w:hAnsi="新細明體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7CC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7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77CC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77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02B0D"/>
    <w:pPr>
      <w:spacing w:before="100" w:beforeAutospacing="1" w:after="100" w:afterAutospacing="1" w:line="240" w:lineRule="auto"/>
    </w:pPr>
    <w:rPr>
      <w:rFonts w:eastAsia="新細明體" w:cs="新細明體"/>
      <w:lang w:eastAsia="zh-TW"/>
    </w:rPr>
  </w:style>
  <w:style w:type="character" w:styleId="a7">
    <w:name w:val="Strong"/>
    <w:basedOn w:val="a0"/>
    <w:uiPriority w:val="22"/>
    <w:qFormat/>
    <w:rsid w:val="00A02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</dc:creator>
  <cp:keywords/>
  <dc:description/>
  <cp:lastModifiedBy>user</cp:lastModifiedBy>
  <cp:revision>2</cp:revision>
  <dcterms:created xsi:type="dcterms:W3CDTF">2024-08-21T03:52:00Z</dcterms:created>
  <dcterms:modified xsi:type="dcterms:W3CDTF">2024-08-21T03:52:00Z</dcterms:modified>
</cp:coreProperties>
</file>